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CB" w:rsidRDefault="00FD1BE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-630555</wp:posOffset>
                </wp:positionV>
                <wp:extent cx="1684020" cy="3733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5965" y="696595"/>
                          <a:ext cx="168402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ECB" w:rsidRDefault="00FD1BEC">
                            <w:pPr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21.95pt;margin-top:-49.65pt;height:29.4pt;width:132.6pt;z-index:251658240;mso-width-relative:page;mso-height-relative:page;" filled="f" stroked="f" coordsize="21600,21600" o:gfxdata="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CjVYyA2wAAAAsBAAAPAAAAAAAAAAEA&#10;IAAAADgAAABkcnMvZG93bnJldi54bWxQSwECFAAUAAAACACHTuJAD97GmS8CAAA0BAAADgAAAAAA&#10;AAABACAAAABA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E4ECB" w:rsidRDefault="00FD1BEC" w:rsidP="00393599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贵州省文化和旅游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系统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行政裁量权基准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（试行）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说明</w:t>
      </w:r>
    </w:p>
    <w:p w:rsidR="00EE4ECB" w:rsidRDefault="00EE4ECB">
      <w:pPr>
        <w:pStyle w:val="a8"/>
        <w:ind w:firstLine="640"/>
      </w:pPr>
    </w:p>
    <w:p w:rsidR="00EE4ECB" w:rsidRDefault="00FD1BEC">
      <w:pPr>
        <w:pStyle w:val="a8"/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一、本</w:t>
      </w:r>
      <w:r>
        <w:rPr>
          <w:rFonts w:ascii="仿宋_GB2312" w:hAnsi="仿宋_GB2312" w:hint="eastAsia"/>
        </w:rPr>
        <w:t>基准</w:t>
      </w:r>
      <w:r>
        <w:rPr>
          <w:rFonts w:ascii="仿宋_GB2312" w:hAnsi="仿宋_GB2312" w:hint="eastAsia"/>
        </w:rPr>
        <w:t>的裁量依据包括但不限于：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</w:t>
      </w:r>
      <w:r>
        <w:rPr>
          <w:rFonts w:hint="eastAsia"/>
        </w:rPr>
        <w:t>一</w:t>
      </w:r>
      <w:r>
        <w:rPr>
          <w:rFonts w:hint="eastAsia"/>
        </w:rPr>
        <w:t>）旅游领域</w:t>
      </w:r>
      <w:r>
        <w:rPr>
          <w:rFonts w:hint="eastAsia"/>
        </w:rPr>
        <w:t>：</w:t>
      </w:r>
      <w:r>
        <w:rPr>
          <w:rFonts w:hint="eastAsia"/>
        </w:rPr>
        <w:t>《中华人民共和国旅游法》《旅行社条例》《导游人员管理条例》</w:t>
      </w:r>
      <w:r>
        <w:rPr>
          <w:rFonts w:hint="eastAsia"/>
        </w:rPr>
        <w:t>《</w:t>
      </w:r>
      <w:r>
        <w:rPr>
          <w:rFonts w:hint="eastAsia"/>
        </w:rPr>
        <w:t>旅行社条例实施细则》《中国公民出国旅游管理办法》《旅游安全管理办法》《导游管理办法》《在线旅游经营服务管理暂行规定》《</w:t>
      </w:r>
      <w:r>
        <w:rPr>
          <w:rFonts w:hint="eastAsia"/>
        </w:rPr>
        <w:t>贵州</w:t>
      </w:r>
      <w:r>
        <w:rPr>
          <w:rFonts w:hint="eastAsia"/>
        </w:rPr>
        <w:t>省旅游条例》</w:t>
      </w:r>
      <w:r>
        <w:rPr>
          <w:rFonts w:hint="eastAsia"/>
        </w:rPr>
        <w:t>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（二）</w:t>
      </w:r>
      <w:r>
        <w:rPr>
          <w:rFonts w:hint="eastAsia"/>
        </w:rPr>
        <w:t>文化领域：</w:t>
      </w:r>
      <w:r>
        <w:rPr>
          <w:rFonts w:hint="eastAsia"/>
        </w:rPr>
        <w:t>《中华人民共和国公共文化服务保障法》《中华人民共和国公共图书馆法》《中华人民共和国非物质文化遗产法》《国家级非物质文化遗产保护与管理暂行办法》《贵州省非物质文化遗产保护条例》《互联网上网服务营业场所管理条例》《互联网文化管理暂行规定》《娱乐场所管理条例》《营业性演出管理条例》《营业性演出管理条例实施细则》《涉外文化艺术表演及展览管理规定》《娱乐场所管理办法》《艺术品经营管理办法》《社会艺术水平考级管理办法》</w:t>
      </w:r>
      <w:r>
        <w:rPr>
          <w:rFonts w:hint="eastAsia"/>
        </w:rPr>
        <w:t>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</w:t>
      </w:r>
      <w:r>
        <w:rPr>
          <w:rFonts w:hint="eastAsia"/>
        </w:rPr>
        <w:t>三</w:t>
      </w:r>
      <w:r>
        <w:rPr>
          <w:rFonts w:hint="eastAsia"/>
        </w:rPr>
        <w:t>）</w:t>
      </w:r>
      <w:r>
        <w:rPr>
          <w:rFonts w:hint="eastAsia"/>
        </w:rPr>
        <w:t>文物领域：《中华人民共和国文物保护法》《中华人民共和国文物保护法实施条例》《博物馆条例》《贵</w:t>
      </w:r>
      <w:r>
        <w:rPr>
          <w:rFonts w:hint="eastAsia"/>
        </w:rPr>
        <w:t>州省文物保护条例》</w:t>
      </w:r>
      <w:r>
        <w:rPr>
          <w:rFonts w:hint="eastAsia"/>
        </w:rPr>
        <w:t>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</w:t>
      </w:r>
      <w:r>
        <w:rPr>
          <w:rFonts w:hint="eastAsia"/>
        </w:rPr>
        <w:t>四</w:t>
      </w:r>
      <w:r>
        <w:rPr>
          <w:rFonts w:hint="eastAsia"/>
        </w:rPr>
        <w:t>）</w:t>
      </w:r>
      <w:r>
        <w:rPr>
          <w:rFonts w:hint="eastAsia"/>
        </w:rPr>
        <w:t>其他：</w:t>
      </w:r>
      <w:r>
        <w:rPr>
          <w:rFonts w:hint="eastAsia"/>
        </w:rPr>
        <w:t>《中华人民共和国行政处罚法》《中华人民共和国未成年人保护法》《文化市场综合执法行政处罚裁量权适用</w:t>
      </w:r>
      <w:r>
        <w:rPr>
          <w:rFonts w:hint="eastAsia"/>
        </w:rPr>
        <w:lastRenderedPageBreak/>
        <w:t>办法》</w:t>
      </w:r>
      <w:r>
        <w:rPr>
          <w:rFonts w:hint="eastAsia"/>
        </w:rPr>
        <w:t>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二</w:t>
      </w:r>
      <w:r>
        <w:rPr>
          <w:rFonts w:hint="eastAsia"/>
        </w:rPr>
        <w:t>、同一违法行为违反不同法律、法规或者规章的，在适用法律、法规或者规章时应当遵循上位法优先、特别法优先、新法优先的原则。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三</w:t>
      </w:r>
      <w:r>
        <w:rPr>
          <w:rFonts w:hint="eastAsia"/>
        </w:rPr>
        <w:t>、有下列情形之一的，应当依法不予处罚：</w:t>
      </w:r>
      <w:r>
        <w:rPr>
          <w:rFonts w:hint="eastAsia"/>
        </w:rPr>
        <w:t xml:space="preserve"> 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（一）不满十四周岁的未成年人有违法行为的；</w:t>
      </w:r>
      <w:r>
        <w:rPr>
          <w:rFonts w:hint="eastAsia"/>
        </w:rPr>
        <w:t xml:space="preserve"> 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（二）精神病人、智力残疾人在不能辨认或者不能控制自己行为时有违法行为的；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（三）违法行为轻微并及时改正，没有造成危害后果的；</w:t>
      </w:r>
      <w:r>
        <w:rPr>
          <w:rFonts w:hint="eastAsia"/>
        </w:rPr>
        <w:t xml:space="preserve"> 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（四）当事人有证据足以证明没有主观过错的（法律、行政法规另有规定的，从其规定）；</w:t>
      </w:r>
      <w:hyperlink r:id="rId7" w:history="1"/>
    </w:p>
    <w:p w:rsidR="00EE4ECB" w:rsidRDefault="00FD1BEC">
      <w:pPr>
        <w:pStyle w:val="a8"/>
        <w:ind w:firstLine="640"/>
      </w:pPr>
      <w:r>
        <w:rPr>
          <w:rFonts w:hint="eastAsia"/>
        </w:rPr>
        <w:t>（五）法律、法规和规章规定的其他情形。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初次违法且危害后果轻微并及时改正的，可以不予行政处罚。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对当事人的违法行为依法不予行政处罚的，执法</w:t>
      </w:r>
      <w:r>
        <w:rPr>
          <w:rFonts w:hint="eastAsia"/>
        </w:rPr>
        <w:t>部门</w:t>
      </w:r>
      <w:r>
        <w:rPr>
          <w:rFonts w:hint="eastAsia"/>
        </w:rPr>
        <w:t>应当对当事人进行教育；有第</w:t>
      </w:r>
      <w:r>
        <w:rPr>
          <w:rFonts w:hint="eastAsia"/>
        </w:rPr>
        <w:t>（一）</w:t>
      </w:r>
      <w:r>
        <w:rPr>
          <w:rFonts w:hint="eastAsia"/>
        </w:rPr>
        <w:t>项规定情形的，应当责令其监护人加以管教；有第</w:t>
      </w:r>
      <w:r>
        <w:rPr>
          <w:rFonts w:hint="eastAsia"/>
        </w:rPr>
        <w:t>（二）</w:t>
      </w:r>
      <w:r>
        <w:rPr>
          <w:rFonts w:hint="eastAsia"/>
        </w:rPr>
        <w:t>项规定情形的，应当责令其监护人严加看管和治疗。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违法行为在二年内未被发现的，不再给予行政处罚，法律另有规定的除外。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四</w:t>
      </w:r>
      <w:r>
        <w:rPr>
          <w:rFonts w:hint="eastAsia"/>
        </w:rPr>
        <w:t>、有下列情形之一的</w:t>
      </w:r>
      <w:r>
        <w:rPr>
          <w:rFonts w:hint="eastAsia"/>
        </w:rPr>
        <w:t>，应当依法从轻或者减轻处罚：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（一）已满十四周岁不满十八周岁的未成年人有违法行为的；</w:t>
      </w:r>
      <w:r>
        <w:rPr>
          <w:rFonts w:hint="eastAsia"/>
        </w:rPr>
        <w:t xml:space="preserve"> 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（二）主动消除或者减轻违法行为危害后果的；</w:t>
      </w:r>
      <w:r>
        <w:rPr>
          <w:rFonts w:hint="eastAsia"/>
        </w:rPr>
        <w:t xml:space="preserve"> </w:t>
      </w:r>
    </w:p>
    <w:p w:rsidR="00EE4ECB" w:rsidRDefault="00FD1BEC">
      <w:pPr>
        <w:pStyle w:val="a8"/>
        <w:ind w:firstLine="640"/>
      </w:pPr>
      <w:r>
        <w:rPr>
          <w:rFonts w:hint="eastAsia"/>
        </w:rPr>
        <w:lastRenderedPageBreak/>
        <w:t>（三）受他人胁迫或者诱骗有违法行为的；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（四）主动供述执法</w:t>
      </w:r>
      <w:r>
        <w:rPr>
          <w:rFonts w:hint="eastAsia"/>
        </w:rPr>
        <w:t>部门</w:t>
      </w:r>
      <w:r>
        <w:rPr>
          <w:rFonts w:hint="eastAsia"/>
        </w:rPr>
        <w:t>尚未掌握的违法行为的；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（五）配合执法</w:t>
      </w:r>
      <w:r>
        <w:rPr>
          <w:rFonts w:hint="eastAsia"/>
        </w:rPr>
        <w:t>部门</w:t>
      </w:r>
      <w:r>
        <w:rPr>
          <w:rFonts w:hint="eastAsia"/>
        </w:rPr>
        <w:t>查处违法行为有立功表现的；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（六）法律、法规、规章规定的其他情形。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尚未完全丧失辨认或者控制自己行为能力的精神病人、智力残疾人有违法行为的，可以从轻或者减轻行政处罚。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五</w:t>
      </w:r>
      <w:r>
        <w:rPr>
          <w:rFonts w:hint="eastAsia"/>
        </w:rPr>
        <w:t>、有下列情形之一的，应当依法从重处罚：</w:t>
      </w:r>
    </w:p>
    <w:p w:rsidR="00EE4ECB" w:rsidRDefault="00FD1BEC">
      <w:pPr>
        <w:pStyle w:val="a8"/>
        <w:ind w:firstLine="640"/>
      </w:pPr>
      <w:r>
        <w:rPr>
          <w:rFonts w:hint="eastAsia"/>
        </w:rPr>
        <w:t xml:space="preserve"> </w:t>
      </w:r>
      <w:r>
        <w:rPr>
          <w:rFonts w:hint="eastAsia"/>
        </w:rPr>
        <w:t>（一）危害国家文化安全和意识形态安全，严重扰乱市场经营秩序的；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t xml:space="preserve"> </w:t>
      </w:r>
      <w:r>
        <w:rPr>
          <w:rFonts w:hint="eastAsia"/>
        </w:rPr>
        <w:t>（二）在共同实施的违法行为中起主要作用或者教唆、胁迫、诱骗他人实施违法行为的；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t xml:space="preserve"> </w:t>
      </w:r>
      <w:r>
        <w:rPr>
          <w:rFonts w:hint="eastAsia"/>
        </w:rPr>
        <w:t>（三）经执法部门通过新闻媒体、发布公告等方式禁止或者告诫后，继续实施违法行为的；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四</w:t>
      </w:r>
      <w:r>
        <w:rPr>
          <w:rFonts w:hint="eastAsia"/>
        </w:rPr>
        <w:t>）经执法部门责令改正违法行为后，继续实施同一违法行为的；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t xml:space="preserve"> </w:t>
      </w:r>
      <w:r>
        <w:rPr>
          <w:rFonts w:hint="eastAsia"/>
        </w:rPr>
        <w:t>（五）因同种违法行为一年内受到三次及以上行政处罚的；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t xml:space="preserve"> </w:t>
      </w:r>
      <w:r>
        <w:rPr>
          <w:rFonts w:hint="eastAsia"/>
        </w:rPr>
        <w:t>（六）隐匿、破坏、销毁、篡改有关证据，或者拒不配合、阻碍、以暴力威胁执法人员依法执行职务的；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t xml:space="preserve"> </w:t>
      </w:r>
      <w:r>
        <w:rPr>
          <w:rFonts w:hint="eastAsia"/>
        </w:rPr>
        <w:t>（七）对证人、举报人或者执法人员打击报复的；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t xml:space="preserve"> </w:t>
      </w:r>
      <w:r>
        <w:rPr>
          <w:rFonts w:hint="eastAsia"/>
        </w:rPr>
        <w:t>（八）违法行为引起群众强烈反映、引发群体性事件或者造成其他不良社会影响的；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t xml:space="preserve"> </w:t>
      </w:r>
      <w:r>
        <w:rPr>
          <w:rFonts w:hint="eastAsia"/>
        </w:rPr>
        <w:t>（九）违反未成年人保护相关规定且情节严重的；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（十）扰乱公共秩序、妨害公共安全和社会管理，情节严重、尚未构成犯罪的；</w:t>
      </w:r>
    </w:p>
    <w:p w:rsidR="00EE4ECB" w:rsidRDefault="00FD1BEC">
      <w:pPr>
        <w:pStyle w:val="a8"/>
        <w:ind w:firstLine="640"/>
      </w:pPr>
      <w:r>
        <w:rPr>
          <w:rFonts w:hint="eastAsia"/>
        </w:rPr>
        <w:t>（十一）法律、法规、规章规定的其他情形。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六、违法行为不具有从轻或者减轻、从重情形的，应当给予一般处罚。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七、同时具有两个或两个以上从重情节、且不具有从轻情节的，应当按最高处罚幅度实施处罚。同时具有两个或两个以上从轻情节、且不具有从重情节的，可以按最低处罚幅度实施处罚。同时具有从重、从轻情节的，应当综合考虑违法行为的性质和社会危害性，根据主要情节实施处罚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八、</w:t>
      </w:r>
      <w:r>
        <w:rPr>
          <w:rFonts w:hint="eastAsia"/>
        </w:rPr>
        <w:t>本</w:t>
      </w:r>
      <w:r>
        <w:rPr>
          <w:rFonts w:hint="eastAsia"/>
        </w:rPr>
        <w:t>基准</w:t>
      </w:r>
      <w:r>
        <w:rPr>
          <w:rFonts w:hint="eastAsia"/>
        </w:rPr>
        <w:t>中违法行为累计查处次数期限</w:t>
      </w:r>
      <w:r>
        <w:rPr>
          <w:rFonts w:hint="eastAsia"/>
        </w:rPr>
        <w:t>中的</w:t>
      </w:r>
      <w:r>
        <w:rPr>
          <w:rFonts w:hint="eastAsia"/>
        </w:rPr>
        <w:t>年度</w:t>
      </w:r>
      <w:r>
        <w:rPr>
          <w:rFonts w:hint="eastAsia"/>
        </w:rPr>
        <w:t>均</w:t>
      </w:r>
      <w:r>
        <w:rPr>
          <w:rFonts w:hint="eastAsia"/>
        </w:rPr>
        <w:t>以做出行政处罚决定的时间开始计算，有特殊说明的除外。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九</w:t>
      </w:r>
      <w:r>
        <w:rPr>
          <w:rFonts w:hint="eastAsia"/>
        </w:rPr>
        <w:t>、本</w:t>
      </w:r>
      <w:r>
        <w:rPr>
          <w:rFonts w:hint="eastAsia"/>
        </w:rPr>
        <w:t>基准</w:t>
      </w:r>
      <w:r>
        <w:rPr>
          <w:rFonts w:hint="eastAsia"/>
        </w:rPr>
        <w:t>所称“以上”“不足”不包含本数，“以下”均含本数；本</w:t>
      </w:r>
      <w:r>
        <w:rPr>
          <w:rFonts w:hint="eastAsia"/>
        </w:rPr>
        <w:t>基准</w:t>
      </w:r>
      <w:r>
        <w:rPr>
          <w:rFonts w:hint="eastAsia"/>
        </w:rPr>
        <w:t>所称“</w:t>
      </w:r>
      <w:r>
        <w:rPr>
          <w:rFonts w:hint="eastAsia"/>
        </w:rPr>
        <w:t>XX</w:t>
      </w:r>
      <w:r>
        <w:rPr>
          <w:rFonts w:hint="eastAsia"/>
        </w:rPr>
        <w:t>至</w:t>
      </w:r>
      <w:r>
        <w:rPr>
          <w:rFonts w:hint="eastAsia"/>
        </w:rPr>
        <w:t>XX</w:t>
      </w:r>
      <w:r>
        <w:rPr>
          <w:rFonts w:hint="eastAsia"/>
        </w:rPr>
        <w:t>”包含本数，另有说明的除外</w:t>
      </w:r>
      <w:r>
        <w:rPr>
          <w:rFonts w:hint="eastAsia"/>
        </w:rPr>
        <w:t>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本基准对“以上”、“以下”、“不足”、</w:t>
      </w:r>
      <w:r>
        <w:rPr>
          <w:rFonts w:hint="eastAsia"/>
        </w:rPr>
        <w:t>“</w:t>
      </w:r>
      <w:r>
        <w:rPr>
          <w:rFonts w:hint="eastAsia"/>
        </w:rPr>
        <w:t>XX</w:t>
      </w:r>
      <w:r>
        <w:rPr>
          <w:rFonts w:hint="eastAsia"/>
        </w:rPr>
        <w:t>至</w:t>
      </w:r>
      <w:r>
        <w:rPr>
          <w:rFonts w:hint="eastAsia"/>
        </w:rPr>
        <w:t>XX</w:t>
      </w:r>
      <w:r>
        <w:rPr>
          <w:rFonts w:hint="eastAsia"/>
        </w:rPr>
        <w:t>”</w:t>
      </w:r>
      <w:r>
        <w:rPr>
          <w:rFonts w:hint="eastAsia"/>
        </w:rPr>
        <w:t>的</w:t>
      </w:r>
      <w:r>
        <w:rPr>
          <w:rFonts w:hint="eastAsia"/>
        </w:rPr>
        <w:t>解释，仅适用于基准本身，不用于解释原法律条文。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十</w:t>
      </w:r>
      <w:r>
        <w:rPr>
          <w:rFonts w:hint="eastAsia"/>
        </w:rPr>
        <w:t>、</w:t>
      </w:r>
      <w:r>
        <w:rPr>
          <w:rFonts w:hint="eastAsia"/>
        </w:rPr>
        <w:t>本基准“适用条件和情形”中如规定有多项条件，满足其中之一即可适用相应的“处罚裁量标准”，另有说明的除外。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十一、</w:t>
      </w:r>
      <w:r>
        <w:rPr>
          <w:rFonts w:hint="eastAsia"/>
        </w:rPr>
        <w:t>执法人员在执法过程中应当结合案件实际情况科学、合理认定违法程度、适用情形等，正确理解适用法律</w:t>
      </w:r>
      <w:r>
        <w:rPr>
          <w:rFonts w:hint="eastAsia"/>
        </w:rPr>
        <w:t>、法规、规章规定。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十二、省文化和旅游厅将根据行政处罚裁量权依据的变动和</w:t>
      </w:r>
      <w:r>
        <w:rPr>
          <w:rFonts w:hint="eastAsia"/>
        </w:rPr>
        <w:lastRenderedPageBreak/>
        <w:t>执法工作实际，及时对行政处罚裁量权基准进行修订。</w:t>
      </w:r>
    </w:p>
    <w:p w:rsidR="00EE4ECB" w:rsidRDefault="00FD1BEC">
      <w:pPr>
        <w:pStyle w:val="a8"/>
        <w:ind w:firstLine="640"/>
      </w:pPr>
      <w:r>
        <w:rPr>
          <w:rFonts w:hint="eastAsia"/>
        </w:rPr>
        <w:t>十三</w:t>
      </w:r>
      <w:r>
        <w:rPr>
          <w:rFonts w:hint="eastAsia"/>
        </w:rPr>
        <w:t>、设区的市、自治州人民政府及其部门可以依照法律、法规、规章以及本</w:t>
      </w:r>
      <w:r>
        <w:rPr>
          <w:rFonts w:hint="eastAsia"/>
        </w:rPr>
        <w:t>基准</w:t>
      </w:r>
      <w:r>
        <w:rPr>
          <w:rFonts w:hint="eastAsia"/>
        </w:rPr>
        <w:t>制定本行政区域内的文化</w:t>
      </w:r>
      <w:r>
        <w:rPr>
          <w:rFonts w:hint="eastAsia"/>
        </w:rPr>
        <w:t>和旅游系统</w:t>
      </w:r>
      <w:r>
        <w:rPr>
          <w:rFonts w:hint="eastAsia"/>
        </w:rPr>
        <w:t>行政裁量权基准。县级人民政府及其部门可以在法定范围内，对本</w:t>
      </w:r>
      <w:r>
        <w:rPr>
          <w:rFonts w:hint="eastAsia"/>
        </w:rPr>
        <w:t>基</w:t>
      </w:r>
      <w:r>
        <w:rPr>
          <w:rFonts w:hint="eastAsia"/>
          <w:spacing w:val="-6"/>
        </w:rPr>
        <w:t>准</w:t>
      </w:r>
      <w:r>
        <w:rPr>
          <w:rFonts w:hint="eastAsia"/>
          <w:spacing w:val="-6"/>
        </w:rPr>
        <w:t>适用的标准、条件、种类、幅度、方式、时限予以合理细化量化。</w:t>
      </w:r>
    </w:p>
    <w:sectPr w:rsidR="00EE4ECB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BEC" w:rsidRDefault="00FD1BEC">
      <w:r>
        <w:separator/>
      </w:r>
    </w:p>
  </w:endnote>
  <w:endnote w:type="continuationSeparator" w:id="0">
    <w:p w:rsidR="00FD1BEC" w:rsidRDefault="00FD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CB" w:rsidRDefault="00FD1BE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4ECB" w:rsidRDefault="00FD1BEC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393599">
                            <w:rPr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E4ECB" w:rsidRDefault="00FD1BEC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393599">
                      <w:rPr>
                        <w:noProof/>
                        <w:sz w:val="24"/>
                      </w:rPr>
                      <w:t>- 1 -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BEC" w:rsidRDefault="00FD1BEC">
      <w:r>
        <w:separator/>
      </w:r>
    </w:p>
  </w:footnote>
  <w:footnote w:type="continuationSeparator" w:id="0">
    <w:p w:rsidR="00FD1BEC" w:rsidRDefault="00FD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jZTRjNmM4MWYwMjRiOWRkODA2OTYyMWYzNzRkNTkifQ=="/>
  </w:docVars>
  <w:rsids>
    <w:rsidRoot w:val="5B1D58FE"/>
    <w:rsid w:val="ADEFF1B1"/>
    <w:rsid w:val="BDDFD3E6"/>
    <w:rsid w:val="DEFD2991"/>
    <w:rsid w:val="DFF63EE8"/>
    <w:rsid w:val="F6BF588F"/>
    <w:rsid w:val="F7EDE52C"/>
    <w:rsid w:val="F9F662B5"/>
    <w:rsid w:val="FADBA9DF"/>
    <w:rsid w:val="FAFF1511"/>
    <w:rsid w:val="FC955FD7"/>
    <w:rsid w:val="FDBA6231"/>
    <w:rsid w:val="FE870697"/>
    <w:rsid w:val="FFE8D6A4"/>
    <w:rsid w:val="FFFD1CD2"/>
    <w:rsid w:val="000577D0"/>
    <w:rsid w:val="00141793"/>
    <w:rsid w:val="00393599"/>
    <w:rsid w:val="003E097D"/>
    <w:rsid w:val="00426C47"/>
    <w:rsid w:val="0044122B"/>
    <w:rsid w:val="004A449D"/>
    <w:rsid w:val="005D04E8"/>
    <w:rsid w:val="00647D0D"/>
    <w:rsid w:val="006A3C90"/>
    <w:rsid w:val="006D7EA9"/>
    <w:rsid w:val="00791CD4"/>
    <w:rsid w:val="007D6036"/>
    <w:rsid w:val="00833755"/>
    <w:rsid w:val="00981C98"/>
    <w:rsid w:val="009C67CA"/>
    <w:rsid w:val="009D06A6"/>
    <w:rsid w:val="00CA08C3"/>
    <w:rsid w:val="00CB3F8B"/>
    <w:rsid w:val="00CE36A6"/>
    <w:rsid w:val="00D065E2"/>
    <w:rsid w:val="00DB32C0"/>
    <w:rsid w:val="00EB0610"/>
    <w:rsid w:val="00EB5159"/>
    <w:rsid w:val="00EE4ECB"/>
    <w:rsid w:val="00F47B73"/>
    <w:rsid w:val="00F816C7"/>
    <w:rsid w:val="00FD1BEC"/>
    <w:rsid w:val="0A067AA8"/>
    <w:rsid w:val="124115B9"/>
    <w:rsid w:val="1A9866E9"/>
    <w:rsid w:val="1ED03C27"/>
    <w:rsid w:val="1FCC611D"/>
    <w:rsid w:val="27001CDC"/>
    <w:rsid w:val="277F2F2D"/>
    <w:rsid w:val="29BC4F76"/>
    <w:rsid w:val="2D5D22E3"/>
    <w:rsid w:val="30594C89"/>
    <w:rsid w:val="38FFEEA3"/>
    <w:rsid w:val="3BFB5E85"/>
    <w:rsid w:val="3ED76BDC"/>
    <w:rsid w:val="3F7F6995"/>
    <w:rsid w:val="42F61D89"/>
    <w:rsid w:val="439C2578"/>
    <w:rsid w:val="520146A0"/>
    <w:rsid w:val="57DF528E"/>
    <w:rsid w:val="5B1C1498"/>
    <w:rsid w:val="5B1D58FE"/>
    <w:rsid w:val="61041955"/>
    <w:rsid w:val="66B12803"/>
    <w:rsid w:val="68C549F9"/>
    <w:rsid w:val="6B77ED05"/>
    <w:rsid w:val="6C35427F"/>
    <w:rsid w:val="77FBA8AF"/>
    <w:rsid w:val="7C3F2551"/>
    <w:rsid w:val="7DF31E45"/>
    <w:rsid w:val="7E1E1E0A"/>
    <w:rsid w:val="7EFB6588"/>
    <w:rsid w:val="7F5C0E17"/>
    <w:rsid w:val="7F6326A9"/>
    <w:rsid w:val="7F7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F7A5FF0-6E0C-45DD-AA19-930BA38C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annotation subject"/>
    <w:basedOn w:val="a3"/>
    <w:next w:val="a3"/>
    <w:link w:val="Char0"/>
    <w:qFormat/>
    <w:rPr>
      <w:b/>
      <w:bCs/>
    </w:r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a8">
    <w:name w:val="公文样式"/>
    <w:basedOn w:val="a"/>
    <w:qFormat/>
    <w:pPr>
      <w:spacing w:line="560" w:lineRule="exact"/>
      <w:ind w:firstLineChars="200" w:firstLine="880"/>
    </w:pPr>
    <w:rPr>
      <w:rFonts w:eastAsia="仿宋_GB2312" w:cs="仿宋_GB2312"/>
      <w:sz w:val="32"/>
      <w:szCs w:val="32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default"/>
      <w:color w:val="FF0000"/>
      <w:sz w:val="20"/>
      <w:szCs w:val="20"/>
      <w:u w:val="none"/>
    </w:rPr>
  </w:style>
  <w:style w:type="character" w:customStyle="1" w:styleId="font212">
    <w:name w:val="font212"/>
    <w:basedOn w:val="a0"/>
    <w:qFormat/>
    <w:rPr>
      <w:rFonts w:ascii="宋体" w:eastAsia="宋体" w:hAnsi="宋体" w:cs="宋体" w:hint="eastAsia"/>
      <w:b/>
      <w:bCs/>
      <w:color w:val="00CCFF"/>
      <w:sz w:val="18"/>
      <w:szCs w:val="18"/>
      <w:u w:val="none"/>
    </w:rPr>
  </w:style>
  <w:style w:type="character" w:customStyle="1" w:styleId="font191">
    <w:name w:val="font1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1">
    <w:name w:val="修订1"/>
    <w:hidden/>
    <w:uiPriority w:val="99"/>
    <w:semiHidden/>
    <w:qFormat/>
    <w:rPr>
      <w:rFonts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6"/>
    <w:qFormat/>
    <w:rPr>
      <w:rFonts w:cstheme="minorBidi"/>
      <w:b/>
      <w:bCs/>
      <w:kern w:val="2"/>
      <w:sz w:val="21"/>
      <w:szCs w:val="24"/>
    </w:rPr>
  </w:style>
  <w:style w:type="paragraph" w:customStyle="1" w:styleId="20">
    <w:name w:val="修订2"/>
    <w:hidden/>
    <w:uiPriority w:val="99"/>
    <w:semiHidden/>
    <w:qFormat/>
    <w:rPr>
      <w:rFonts w:cstheme="minorBidi"/>
      <w:kern w:val="2"/>
      <w:sz w:val="21"/>
      <w:szCs w:val="24"/>
    </w:rPr>
  </w:style>
  <w:style w:type="paragraph" w:styleId="a9">
    <w:name w:val="Balloon Text"/>
    <w:basedOn w:val="a"/>
    <w:link w:val="Char1"/>
    <w:rsid w:val="00393599"/>
    <w:rPr>
      <w:sz w:val="18"/>
      <w:szCs w:val="18"/>
    </w:rPr>
  </w:style>
  <w:style w:type="character" w:customStyle="1" w:styleId="Char1">
    <w:name w:val="批注框文本 Char"/>
    <w:basedOn w:val="a0"/>
    <w:link w:val="a9"/>
    <w:rsid w:val="00393599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313</Words>
  <Characters>1786</Characters>
  <Application>Microsoft Office Word</Application>
  <DocSecurity>0</DocSecurity>
  <Lines>14</Lines>
  <Paragraphs>4</Paragraphs>
  <ScaleCrop>false</ScaleCrop>
  <Company>P R C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无尤</dc:creator>
  <cp:lastModifiedBy>Windows User</cp:lastModifiedBy>
  <cp:revision>4</cp:revision>
  <cp:lastPrinted>2023-10-25T08:35:00Z</cp:lastPrinted>
  <dcterms:created xsi:type="dcterms:W3CDTF">2023-01-20T16:36:00Z</dcterms:created>
  <dcterms:modified xsi:type="dcterms:W3CDTF">2023-10-25T08:35:00Z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CB745235FFA54573A847D6BF1052AE0B_13</vt:lpwstr>
  </property>
</Properties>
</file>